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E64D2EC" w14:textId="77777777" w:rsidR="002B054A" w:rsidRDefault="002B054A" w:rsidP="002B05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>Информационные</w:t>
      </w:r>
      <w:proofErr w:type="spellEnd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>системы</w:t>
      </w:r>
      <w:proofErr w:type="spellEnd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>управления</w:t>
      </w:r>
      <w:proofErr w:type="spellEnd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054A">
        <w:rPr>
          <w:rFonts w:ascii="Times New Roman" w:hAnsi="Times New Roman" w:cs="Times New Roman"/>
          <w:b/>
          <w:sz w:val="28"/>
          <w:szCs w:val="28"/>
          <w:lang w:val="en-US"/>
        </w:rPr>
        <w:t>организацией</w:t>
      </w:r>
      <w:proofErr w:type="spellEnd"/>
    </w:p>
    <w:p w14:paraId="1D24F019" w14:textId="77777777" w:rsidR="002B054A" w:rsidRDefault="002B054A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07D410" w14:textId="1CFC7BC5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7C506EC0" w14:textId="3882F9F0" w:rsidR="00EF0C50" w:rsidRDefault="0067589C" w:rsidP="002B054A">
      <w:pPr>
        <w:pStyle w:val="Default"/>
        <w:jc w:val="both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2B054A" w:rsidRPr="002B054A">
        <w:rPr>
          <w:sz w:val="28"/>
          <w:szCs w:val="28"/>
        </w:rPr>
        <w:t>формирование у студентов системы теоретических знаний в области</w:t>
      </w:r>
      <w:r w:rsidR="002B054A">
        <w:rPr>
          <w:sz w:val="28"/>
          <w:szCs w:val="28"/>
        </w:rPr>
        <w:t xml:space="preserve"> </w:t>
      </w:r>
      <w:r w:rsidR="002B054A" w:rsidRPr="002B054A">
        <w:rPr>
          <w:sz w:val="28"/>
          <w:szCs w:val="28"/>
        </w:rPr>
        <w:t>управления деятельностью организации с помощью информационных систем</w:t>
      </w:r>
      <w:r w:rsidR="002B054A">
        <w:rPr>
          <w:sz w:val="28"/>
          <w:szCs w:val="28"/>
        </w:rPr>
        <w:t xml:space="preserve"> </w:t>
      </w:r>
      <w:r w:rsidR="002B054A" w:rsidRPr="002B054A">
        <w:rPr>
          <w:sz w:val="28"/>
          <w:szCs w:val="28"/>
        </w:rPr>
        <w:t>(ИС) и информационных технологий (ИТ)</w:t>
      </w:r>
      <w:r w:rsidR="00EF0C50">
        <w:rPr>
          <w:sz w:val="28"/>
          <w:szCs w:val="28"/>
        </w:rPr>
        <w:t>.</w:t>
      </w:r>
    </w:p>
    <w:p w14:paraId="34B5A733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C1549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7910592A" w14:textId="77777777" w:rsidR="002B054A" w:rsidRDefault="002B054A" w:rsidP="002B0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дисциплина модуля 4 «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6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Skills</w:t>
      </w:r>
      <w:r>
        <w:rPr>
          <w:rFonts w:ascii="Times New Roman" w:hAnsi="Times New Roman" w:cs="Times New Roman"/>
          <w:sz w:val="28"/>
          <w:szCs w:val="28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7DA692FA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18417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0E0F28E8" w14:textId="65D3DA76" w:rsidR="00F32A65" w:rsidRPr="00F92BBB" w:rsidRDefault="002B054A" w:rsidP="002B0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054A">
        <w:rPr>
          <w:rFonts w:ascii="Times New Roman" w:hAnsi="Times New Roman" w:cs="Times New Roman"/>
          <w:sz w:val="28"/>
          <w:szCs w:val="28"/>
        </w:rPr>
        <w:t xml:space="preserve">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оперативного уровня управления. Транзакционные системы. Управленческие концепции MRP, MRPII, ERP, ERPII. Примеры корпоративных систем от мировых вендоров и российских разработчиков. Компоненты (модули), назначение и функциональные возможности КИС: SAP, 1С, </w:t>
      </w:r>
      <w:proofErr w:type="spellStart"/>
      <w:r w:rsidRPr="002B054A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2B05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54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B054A">
        <w:rPr>
          <w:rFonts w:ascii="Times New Roman" w:hAnsi="Times New Roman" w:cs="Times New Roman"/>
          <w:sz w:val="28"/>
          <w:szCs w:val="28"/>
        </w:rPr>
        <w:t>.</w:t>
      </w: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2B054A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15</cp:revision>
  <dcterms:created xsi:type="dcterms:W3CDTF">2016-03-05T08:03:00Z</dcterms:created>
  <dcterms:modified xsi:type="dcterms:W3CDTF">2021-05-14T08:47:00Z</dcterms:modified>
</cp:coreProperties>
</file>